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59" w:rsidRDefault="00054359" w:rsidP="00054359"/>
    <w:p w:rsidR="00054359" w:rsidRDefault="00054359" w:rsidP="00054359"/>
    <w:p w:rsidR="00054359" w:rsidRDefault="00054359" w:rsidP="00054359"/>
    <w:p w:rsidR="00054359" w:rsidRDefault="00054359" w:rsidP="00054359"/>
    <w:p w:rsidR="00054359" w:rsidRDefault="00054359" w:rsidP="00054359">
      <w:r>
        <w:t xml:space="preserve">Actividad </w:t>
      </w:r>
    </w:p>
    <w:p w:rsidR="00054359" w:rsidRDefault="00054359" w:rsidP="00054359">
      <w:pPr>
        <w:pStyle w:val="Prrafodelista"/>
        <w:numPr>
          <w:ilvl w:val="0"/>
          <w:numId w:val="1"/>
        </w:numPr>
      </w:pPr>
      <w:r>
        <w:t xml:space="preserve">Entrar  la página de </w:t>
      </w:r>
      <w:proofErr w:type="spellStart"/>
      <w:r>
        <w:t>etconsulting</w:t>
      </w:r>
      <w:proofErr w:type="spellEnd"/>
      <w:r>
        <w:t>.</w:t>
      </w:r>
    </w:p>
    <w:p w:rsidR="00054359" w:rsidRDefault="00054359" w:rsidP="00054359">
      <w:pPr>
        <w:pStyle w:val="Prrafodelista"/>
        <w:numPr>
          <w:ilvl w:val="0"/>
          <w:numId w:val="1"/>
        </w:numPr>
      </w:pPr>
      <w:r>
        <w:t xml:space="preserve">Descargar el video de documentos generales. </w:t>
      </w:r>
    </w:p>
    <w:p w:rsidR="00054359" w:rsidRDefault="00054359" w:rsidP="00054359">
      <w:pPr>
        <w:pStyle w:val="Prrafodelista"/>
        <w:numPr>
          <w:ilvl w:val="0"/>
          <w:numId w:val="1"/>
        </w:numPr>
      </w:pPr>
      <w:r>
        <w:t>Escribo conclusión y aprendizaje sobre implementación de la creatividad y el video</w:t>
      </w:r>
    </w:p>
    <w:p w:rsidR="00054359" w:rsidRDefault="00054359" w:rsidP="00054359">
      <w:pPr>
        <w:pStyle w:val="Prrafodelista"/>
        <w:numPr>
          <w:ilvl w:val="0"/>
          <w:numId w:val="1"/>
        </w:numPr>
      </w:pPr>
      <w:r>
        <w:t xml:space="preserve">Terminar prueba de creatividad </w:t>
      </w:r>
    </w:p>
    <w:p w:rsidR="00054359" w:rsidRDefault="00054359" w:rsidP="00054359">
      <w:pPr>
        <w:pStyle w:val="Prrafodelista"/>
        <w:numPr>
          <w:ilvl w:val="0"/>
          <w:numId w:val="1"/>
        </w:numPr>
      </w:pPr>
      <w:r>
        <w:t xml:space="preserve">Define de acuerdo  a la actividad económica en que se desempeña una empresa  </w:t>
      </w:r>
    </w:p>
    <w:p w:rsidR="00054359" w:rsidRDefault="00054359" w:rsidP="00054359">
      <w:pPr>
        <w:pStyle w:val="Prrafodelista"/>
        <w:numPr>
          <w:ilvl w:val="0"/>
          <w:numId w:val="1"/>
        </w:numPr>
      </w:pPr>
      <w:r>
        <w:t xml:space="preserve">Escribo varios ejemplos según se procedencia, su capital, su cobertura y número de socios </w:t>
      </w:r>
    </w:p>
    <w:p w:rsidR="00054359" w:rsidRDefault="00054359" w:rsidP="00054359"/>
    <w:p w:rsidR="00054359" w:rsidRDefault="00054359" w:rsidP="00054359"/>
    <w:p w:rsidR="00054359" w:rsidRDefault="00054359" w:rsidP="00054359"/>
    <w:p w:rsidR="00054359" w:rsidRDefault="00054359" w:rsidP="00054359"/>
    <w:p w:rsidR="00054359" w:rsidRDefault="00054359" w:rsidP="00054359">
      <w:r>
        <w:t>Desarrollo</w:t>
      </w:r>
    </w:p>
    <w:p w:rsidR="00054359" w:rsidRDefault="00054359" w:rsidP="00054359">
      <w:pPr>
        <w:pStyle w:val="Prrafodelista"/>
        <w:numPr>
          <w:ilvl w:val="0"/>
          <w:numId w:val="2"/>
        </w:numPr>
      </w:pPr>
      <w:r>
        <w:t>Que si en realidad queremos algo debemos lograrlo y tratar de hacerlo cueste lo que cueste,  que es preferible hacer  algo con nuestra propia creatividad q con la ayuda del otro,  que todo  hombre tiene creatividad solo que algunos saben explotarlos y otros no, que además para tener un vida mejor debemos ser creativos e investigar cosas nuevas.</w:t>
      </w:r>
    </w:p>
    <w:p w:rsidR="00054359" w:rsidRDefault="00054359" w:rsidP="00054359"/>
    <w:p w:rsidR="00054359" w:rsidRDefault="00054359" w:rsidP="00054359"/>
    <w:p w:rsidR="00054359" w:rsidRDefault="00054359" w:rsidP="00054359"/>
    <w:p w:rsidR="00054359" w:rsidRDefault="00054359" w:rsidP="00054359">
      <w:r>
        <w:t>5. una empresa se basa o ayuda  solucionar los problemas de la vida cotidiana, y van un empresa por que necesitan gente que los ayude a solucionar sus problemas, la actividad económica de un empresa se basa en el comercio, si tu creas un producto y a la gente no le gusta la actividad económica de tu empresa no va hacer la mejor, la economía de la empresa se basa en lo client</w:t>
      </w:r>
      <w:r w:rsidR="00716B62">
        <w:t>e</w:t>
      </w:r>
      <w:r>
        <w:t>s y que tan bueno uses tu creatividad.</w:t>
      </w:r>
      <w:bookmarkStart w:id="0" w:name="_GoBack"/>
      <w:bookmarkEnd w:id="0"/>
    </w:p>
    <w:p w:rsidR="000763DB" w:rsidRDefault="000763DB" w:rsidP="00054359"/>
    <w:p w:rsidR="000763DB" w:rsidRDefault="000763DB" w:rsidP="00054359">
      <w:pPr>
        <w:rPr>
          <w:color w:val="FF0000"/>
          <w:sz w:val="44"/>
          <w:szCs w:val="44"/>
        </w:rPr>
      </w:pPr>
    </w:p>
    <w:p w:rsidR="00054359" w:rsidRPr="000C2E40" w:rsidRDefault="000763DB" w:rsidP="00054359">
      <w:r w:rsidRPr="000763DB">
        <w:rPr>
          <w:color w:val="FF0000"/>
          <w:sz w:val="44"/>
          <w:szCs w:val="44"/>
        </w:rPr>
        <w:lastRenderedPageBreak/>
        <w:t>Bancolombia</w:t>
      </w:r>
    </w:p>
    <w:p w:rsidR="00970751" w:rsidRPr="000763DB" w:rsidRDefault="000763DB">
      <w:pPr>
        <w:rPr>
          <w:color w:val="FF0000"/>
          <w:sz w:val="32"/>
          <w:szCs w:val="32"/>
        </w:rPr>
      </w:pPr>
      <w:r w:rsidRPr="000763DB">
        <w:rPr>
          <w:color w:val="FF0000"/>
          <w:sz w:val="32"/>
          <w:szCs w:val="32"/>
        </w:rPr>
        <w:t>Procedencia</w:t>
      </w: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sz w:val="22"/>
          <w:szCs w:val="22"/>
        </w:rPr>
      </w:pPr>
      <w:r w:rsidRPr="000763DB">
        <w:rPr>
          <w:rFonts w:asciiTheme="minorHAnsi" w:hAnsiTheme="minorHAnsi"/>
          <w:sz w:val="22"/>
          <w:szCs w:val="22"/>
        </w:rPr>
        <w:t>Con 138 años de experiencia, el Grupo Bancolombia es el conglome</w:t>
      </w:r>
      <w:r w:rsidRPr="000763DB">
        <w:rPr>
          <w:rFonts w:asciiTheme="minorHAnsi" w:hAnsiTheme="minorHAnsi"/>
          <w:sz w:val="22"/>
          <w:szCs w:val="22"/>
        </w:rPr>
        <w:softHyphen/>
        <w:t>rado de empresas financieras más grande de Colombia. Ofrece un am</w:t>
      </w:r>
      <w:r w:rsidRPr="000763DB">
        <w:rPr>
          <w:rFonts w:asciiTheme="minorHAnsi" w:hAnsiTheme="minorHAnsi"/>
          <w:sz w:val="22"/>
          <w:szCs w:val="22"/>
        </w:rPr>
        <w:softHyphen/>
        <w:t>plio portafolio de productos y servicios a través de una plataforma regional, compuesta por la más amplia red privada bancaria tanto en su país de sede como en El Salvador con Banco Agrícola, grupo finan</w:t>
      </w:r>
      <w:r w:rsidRPr="000763DB">
        <w:rPr>
          <w:rFonts w:asciiTheme="minorHAnsi" w:hAnsiTheme="minorHAnsi"/>
          <w:sz w:val="22"/>
          <w:szCs w:val="22"/>
        </w:rPr>
        <w:softHyphen/>
        <w:t>ciero líder de este país centroamericano; cuenta con subsidiarias de banca interna</w:t>
      </w:r>
      <w:r w:rsidRPr="000763DB">
        <w:rPr>
          <w:rFonts w:asciiTheme="minorHAnsi" w:hAnsiTheme="minorHAnsi"/>
          <w:sz w:val="22"/>
          <w:szCs w:val="22"/>
        </w:rPr>
        <w:softHyphen/>
        <w:t xml:space="preserve">cional en Panamá, Islas </w:t>
      </w:r>
      <w:proofErr w:type="spellStart"/>
      <w:r w:rsidRPr="000763DB">
        <w:rPr>
          <w:rFonts w:asciiTheme="minorHAnsi" w:hAnsiTheme="minorHAnsi"/>
          <w:sz w:val="22"/>
          <w:szCs w:val="22"/>
        </w:rPr>
        <w:t>Caymán</w:t>
      </w:r>
      <w:proofErr w:type="spellEnd"/>
      <w:r w:rsidRPr="000763DB">
        <w:rPr>
          <w:rFonts w:asciiTheme="minorHAnsi" w:hAnsiTheme="minorHAnsi"/>
          <w:sz w:val="22"/>
          <w:szCs w:val="22"/>
        </w:rPr>
        <w:t xml:space="preserve"> y Puerto Rico, además de ofici</w:t>
      </w:r>
      <w:r w:rsidRPr="000763DB">
        <w:rPr>
          <w:rFonts w:asciiTheme="minorHAnsi" w:hAnsiTheme="minorHAnsi"/>
          <w:sz w:val="22"/>
          <w:szCs w:val="22"/>
        </w:rPr>
        <w:softHyphen/>
        <w:t xml:space="preserve">nas de representación en Costa Rica y Guatemala mediante el conglomerado salvadoreño y tiene negocios de Fiducia, Leasing y </w:t>
      </w:r>
      <w:proofErr w:type="spellStart"/>
      <w:r w:rsidRPr="000763DB">
        <w:rPr>
          <w:rFonts w:asciiTheme="minorHAnsi" w:hAnsiTheme="minorHAnsi"/>
          <w:sz w:val="22"/>
          <w:szCs w:val="22"/>
        </w:rPr>
        <w:t>Renting</w:t>
      </w:r>
      <w:proofErr w:type="spellEnd"/>
      <w:r w:rsidRPr="000763DB">
        <w:rPr>
          <w:rFonts w:asciiTheme="minorHAnsi" w:hAnsiTheme="minorHAnsi"/>
          <w:sz w:val="22"/>
          <w:szCs w:val="22"/>
        </w:rPr>
        <w:t xml:space="preserve"> en Perú.</w:t>
      </w: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sz w:val="22"/>
          <w:szCs w:val="22"/>
        </w:rPr>
      </w:pPr>
      <w:r w:rsidRPr="000763DB">
        <w:rPr>
          <w:rFonts w:asciiTheme="minorHAnsi" w:hAnsiTheme="minorHAnsi"/>
          <w:sz w:val="22"/>
          <w:szCs w:val="22"/>
        </w:rPr>
        <w:t>Con un acuerdo de adquisición del 40% del Grupo Finan</w:t>
      </w:r>
      <w:r w:rsidRPr="000763DB">
        <w:rPr>
          <w:rFonts w:asciiTheme="minorHAnsi" w:hAnsiTheme="minorHAnsi"/>
          <w:sz w:val="22"/>
          <w:szCs w:val="22"/>
        </w:rPr>
        <w:softHyphen/>
        <w:t xml:space="preserve">ciero </w:t>
      </w:r>
      <w:proofErr w:type="spellStart"/>
      <w:r w:rsidRPr="000763DB">
        <w:rPr>
          <w:rFonts w:asciiTheme="minorHAnsi" w:hAnsiTheme="minorHAnsi"/>
          <w:sz w:val="22"/>
          <w:szCs w:val="22"/>
        </w:rPr>
        <w:t>Agromercantil</w:t>
      </w:r>
      <w:proofErr w:type="spellEnd"/>
      <w:r w:rsidRPr="000763DB">
        <w:rPr>
          <w:rFonts w:asciiTheme="minorHAnsi" w:hAnsiTheme="minorHAnsi"/>
          <w:sz w:val="22"/>
          <w:szCs w:val="22"/>
        </w:rPr>
        <w:t xml:space="preserve"> de Guatemala (GFA) y del 100% de las acciones ordina</w:t>
      </w:r>
      <w:r w:rsidRPr="000763DB">
        <w:rPr>
          <w:rFonts w:asciiTheme="minorHAnsi" w:hAnsiTheme="minorHAnsi"/>
          <w:sz w:val="22"/>
          <w:szCs w:val="22"/>
        </w:rPr>
        <w:softHyphen/>
        <w:t>rias, más el 90,1% de las acciones preferenciales del Banco HSBC Panamá (sujetas a las autorizaciones regulatorias requeridas), el Grupo Bancolombia consolida su evolución en el ámbito regional.</w:t>
      </w:r>
      <w:r w:rsidRPr="000763DB">
        <w:rPr>
          <w:rFonts w:asciiTheme="minorHAnsi" w:hAnsiTheme="minorHAnsi"/>
          <w:sz w:val="22"/>
          <w:szCs w:val="22"/>
        </w:rPr>
        <w:br/>
      </w:r>
      <w:r w:rsidRPr="000763DB">
        <w:rPr>
          <w:rFonts w:asciiTheme="minorHAnsi" w:hAnsiTheme="minorHAnsi"/>
          <w:sz w:val="22"/>
          <w:szCs w:val="22"/>
        </w:rPr>
        <w:br/>
        <w:t>Ahora está listado en el índice de sostenibilidad de Dow Jones y es la única entidad financiera co</w:t>
      </w:r>
      <w:r w:rsidRPr="000763DB">
        <w:rPr>
          <w:rFonts w:asciiTheme="minorHAnsi" w:hAnsiTheme="minorHAnsi"/>
          <w:sz w:val="22"/>
          <w:szCs w:val="22"/>
        </w:rPr>
        <w:softHyphen/>
        <w:t>lombiana listada en la Bolsa de Nueva York (NYSE), hechos que dan cuenta de su trayectoria no solo en su país de origen, sino también en la región.</w:t>
      </w: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color w:val="666666"/>
          <w:sz w:val="22"/>
          <w:szCs w:val="22"/>
        </w:rPr>
      </w:pPr>
      <w:r w:rsidRPr="000763DB">
        <w:rPr>
          <w:rFonts w:asciiTheme="minorHAnsi" w:hAnsiTheme="minorHAnsi"/>
          <w:sz w:val="22"/>
          <w:szCs w:val="22"/>
        </w:rPr>
        <w:t xml:space="preserve">El Grupo Bancolombia, adquirió el compromiso de ser una Banca más Humana, hecho que significa reconocer que está pensando cada vez más en las personas y que está haciendo las cosas de una manera diferente; es entender que la rentabilidad </w:t>
      </w:r>
      <w:r w:rsidRPr="000763DB">
        <w:rPr>
          <w:rFonts w:asciiTheme="minorHAnsi" w:hAnsiTheme="minorHAnsi"/>
          <w:color w:val="666666"/>
          <w:sz w:val="22"/>
          <w:szCs w:val="22"/>
        </w:rPr>
        <w:t>es necesaria, pero no solo desde lo cuantitativo sino también desde lo cualitativo.</w:t>
      </w: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color w:val="666666"/>
          <w:sz w:val="22"/>
          <w:szCs w:val="22"/>
        </w:rPr>
      </w:pP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color w:val="666666"/>
          <w:sz w:val="22"/>
          <w:szCs w:val="22"/>
        </w:rPr>
      </w:pP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color w:val="666666"/>
          <w:sz w:val="22"/>
          <w:szCs w:val="22"/>
        </w:rPr>
      </w:pPr>
    </w:p>
    <w:p w:rsidR="000763DB" w:rsidRPr="000763DB" w:rsidRDefault="000763DB" w:rsidP="000763DB">
      <w:pPr>
        <w:pStyle w:val="NormalWeb"/>
        <w:shd w:val="clear" w:color="auto" w:fill="FFFFFF"/>
        <w:spacing w:before="120" w:beforeAutospacing="0" w:after="0" w:afterAutospacing="0" w:line="195" w:lineRule="atLeast"/>
        <w:ind w:left="75"/>
        <w:rPr>
          <w:rFonts w:asciiTheme="minorHAnsi" w:hAnsiTheme="minorHAnsi"/>
          <w:color w:val="FF0000"/>
          <w:sz w:val="32"/>
          <w:szCs w:val="32"/>
        </w:rPr>
      </w:pPr>
      <w:r w:rsidRPr="000763DB">
        <w:rPr>
          <w:rFonts w:asciiTheme="minorHAnsi" w:hAnsiTheme="minorHAnsi"/>
          <w:color w:val="FF0000"/>
          <w:sz w:val="32"/>
          <w:szCs w:val="32"/>
        </w:rPr>
        <w:t>Capital</w:t>
      </w:r>
    </w:p>
    <w:p w:rsidR="000763DB" w:rsidRPr="000763DB" w:rsidRDefault="000763DB"/>
    <w:p w:rsidR="000763DB" w:rsidRPr="000763DB" w:rsidRDefault="000763DB"/>
    <w:p w:rsidR="000763DB" w:rsidRPr="000763DB" w:rsidRDefault="000763DB" w:rsidP="000763DB">
      <w:r w:rsidRPr="000763DB">
        <w:t>El proceso de capitalización. En el mes de junio se dio inicio</w:t>
      </w:r>
    </w:p>
    <w:p w:rsidR="000763DB" w:rsidRPr="000763DB" w:rsidRDefault="000763DB" w:rsidP="000763DB">
      <w:r w:rsidRPr="000763DB">
        <w:t>En Colombia al proceso de emisión de 60 millones de acciones</w:t>
      </w:r>
    </w:p>
    <w:p w:rsidR="000763DB" w:rsidRPr="000763DB" w:rsidRDefault="000763DB" w:rsidP="000763DB">
      <w:r w:rsidRPr="000763DB">
        <w:t>Preferenciales en la Bolsa de Valores, de las cuales fueron suscritas</w:t>
      </w:r>
    </w:p>
    <w:p w:rsidR="000763DB" w:rsidRPr="000763DB" w:rsidRDefault="000763DB" w:rsidP="000763DB">
      <w:r w:rsidRPr="000763DB">
        <w:t>21’307.238 acciones, por un valor de $323.976.553.790.</w:t>
      </w:r>
    </w:p>
    <w:p w:rsidR="000763DB" w:rsidRDefault="000763DB" w:rsidP="000763DB">
      <w:pPr>
        <w:jc w:val="both"/>
      </w:pPr>
    </w:p>
    <w:p w:rsidR="000763DB" w:rsidRDefault="000763DB" w:rsidP="000763DB">
      <w:pPr>
        <w:jc w:val="both"/>
      </w:pPr>
    </w:p>
    <w:p w:rsidR="000763DB" w:rsidRDefault="000763DB" w:rsidP="000763DB">
      <w:pPr>
        <w:jc w:val="both"/>
      </w:pPr>
    </w:p>
    <w:p w:rsidR="000763DB" w:rsidRDefault="000763DB" w:rsidP="000763DB">
      <w:pPr>
        <w:jc w:val="both"/>
      </w:pPr>
    </w:p>
    <w:p w:rsidR="000763DB" w:rsidRDefault="000763DB" w:rsidP="000763DB">
      <w:pPr>
        <w:jc w:val="both"/>
        <w:rPr>
          <w:color w:val="FF0000"/>
          <w:sz w:val="36"/>
          <w:szCs w:val="36"/>
        </w:rPr>
      </w:pPr>
      <w:r w:rsidRPr="000763DB">
        <w:rPr>
          <w:color w:val="FF0000"/>
          <w:sz w:val="36"/>
          <w:szCs w:val="36"/>
        </w:rPr>
        <w:t>Cobertura</w:t>
      </w:r>
    </w:p>
    <w:p w:rsidR="000763DB" w:rsidRDefault="000763DB" w:rsidP="000763DB">
      <w:pPr>
        <w:jc w:val="both"/>
        <w:rPr>
          <w:color w:val="FF0000"/>
          <w:sz w:val="36"/>
          <w:szCs w:val="36"/>
        </w:rPr>
      </w:pPr>
    </w:p>
    <w:p w:rsidR="000763DB" w:rsidRPr="000763DB" w:rsidRDefault="000763DB" w:rsidP="000763DB">
      <w:pPr>
        <w:shd w:val="clear" w:color="auto" w:fill="FFFFFF"/>
        <w:spacing w:after="150" w:line="240" w:lineRule="auto"/>
        <w:outlineLvl w:val="0"/>
        <w:rPr>
          <w:rFonts w:ascii="Trebuchet MS" w:eastAsia="Times New Roman" w:hAnsi="Trebuchet MS" w:cs="Times New Roman"/>
          <w:b/>
          <w:bCs/>
          <w:kern w:val="36"/>
          <w:sz w:val="26"/>
          <w:szCs w:val="26"/>
          <w:lang w:eastAsia="es-CO"/>
        </w:rPr>
      </w:pPr>
      <w:r w:rsidRPr="000763DB">
        <w:rPr>
          <w:rFonts w:ascii="Trebuchet MS" w:eastAsia="Times New Roman" w:hAnsi="Trebuchet MS" w:cs="Times New Roman"/>
          <w:b/>
          <w:bCs/>
          <w:kern w:val="36"/>
          <w:sz w:val="26"/>
          <w:szCs w:val="26"/>
          <w:lang w:eastAsia="es-CO"/>
        </w:rPr>
        <w:t>Bancolombia fortalece sus operaciones de cobertura en el mercado local con el respaldo de la IFC</w:t>
      </w:r>
    </w:p>
    <w:p w:rsidR="000763DB" w:rsidRPr="000763DB" w:rsidRDefault="000763DB" w:rsidP="000763DB">
      <w:pPr>
        <w:shd w:val="clear" w:color="auto" w:fill="FFFFFF"/>
        <w:spacing w:after="0" w:line="240" w:lineRule="atLeast"/>
        <w:rPr>
          <w:rFonts w:ascii="Arial" w:eastAsia="Times New Roman" w:hAnsi="Arial" w:cs="Arial"/>
          <w:noProof/>
          <w:sz w:val="20"/>
          <w:szCs w:val="20"/>
          <w:lang w:eastAsia="es-CO"/>
        </w:rPr>
      </w:pPr>
      <w:r w:rsidRPr="000763DB">
        <w:rPr>
          <w:rFonts w:ascii="Arial" w:eastAsia="Times New Roman" w:hAnsi="Arial" w:cs="Arial"/>
          <w:sz w:val="20"/>
          <w:szCs w:val="20"/>
          <w:lang w:eastAsia="es-CO"/>
        </w:rPr>
        <w:fldChar w:fldCharType="begin"/>
      </w:r>
      <w:r w:rsidRPr="000763DB">
        <w:rPr>
          <w:rFonts w:ascii="Arial" w:eastAsia="Times New Roman" w:hAnsi="Arial" w:cs="Arial"/>
          <w:sz w:val="20"/>
          <w:szCs w:val="20"/>
          <w:lang w:eastAsia="es-CO"/>
        </w:rPr>
        <w:instrText xml:space="preserve"> HYPERLINK "http://saladeprensa.grupobancolombia.com/cs/BlobServer?blobcol=urldata&amp;blobtable=MungoBlobs&amp;blobkey=id&amp;blobwhere=1266523172118" \t "_blank" </w:instrText>
      </w:r>
      <w:r w:rsidRPr="000763DB">
        <w:rPr>
          <w:rFonts w:ascii="Arial" w:eastAsia="Times New Roman" w:hAnsi="Arial" w:cs="Arial"/>
          <w:sz w:val="20"/>
          <w:szCs w:val="20"/>
          <w:lang w:eastAsia="es-CO"/>
        </w:rPr>
        <w:fldChar w:fldCharType="separate"/>
      </w:r>
    </w:p>
    <w:p w:rsidR="000763DB" w:rsidRPr="000763DB" w:rsidRDefault="000763DB" w:rsidP="000763DB">
      <w:pPr>
        <w:shd w:val="clear" w:color="auto" w:fill="FFFFFF"/>
        <w:spacing w:after="0" w:line="240" w:lineRule="atLeast"/>
        <w:rPr>
          <w:rFonts w:ascii="Arial" w:eastAsia="Times New Roman" w:hAnsi="Arial" w:cs="Arial"/>
          <w:sz w:val="20"/>
          <w:szCs w:val="20"/>
          <w:lang w:eastAsia="es-CO"/>
        </w:rPr>
      </w:pPr>
      <w:r w:rsidRPr="000763DB">
        <w:rPr>
          <w:rFonts w:ascii="Arial" w:eastAsia="Times New Roman" w:hAnsi="Arial" w:cs="Arial"/>
          <w:sz w:val="20"/>
          <w:szCs w:val="20"/>
          <w:lang w:eastAsia="es-CO"/>
        </w:rPr>
        <w:fldChar w:fldCharType="end"/>
      </w:r>
    </w:p>
    <w:p w:rsidR="000763DB" w:rsidRPr="000763DB" w:rsidRDefault="00716B62" w:rsidP="000763DB">
      <w:pPr>
        <w:shd w:val="clear" w:color="auto" w:fill="F3F3F3"/>
        <w:spacing w:before="30" w:after="30" w:line="240" w:lineRule="atLeast"/>
        <w:ind w:left="30" w:right="255"/>
        <w:rPr>
          <w:rFonts w:eastAsia="Times New Roman" w:cs="Arial"/>
          <w:lang w:eastAsia="es-CO"/>
        </w:rPr>
      </w:pPr>
      <w:hyperlink r:id="rId6" w:tgtFrame="_blank" w:history="1">
        <w:r w:rsidR="000763DB" w:rsidRPr="000763DB">
          <w:rPr>
            <w:rFonts w:eastAsia="Times New Roman" w:cs="Arial"/>
            <w:u w:val="single"/>
            <w:lang w:eastAsia="es-CO"/>
          </w:rPr>
          <w:t>Bancolombia mantiene su fortaleza, rentabilidad y solidez como respaldo al desarrollo económico del país. Mayo 8 de 2009</w:t>
        </w:r>
      </w:hyperlink>
    </w:p>
    <w:p w:rsidR="000763DB" w:rsidRPr="000763DB" w:rsidRDefault="000763DB" w:rsidP="000763DB">
      <w:pPr>
        <w:shd w:val="clear" w:color="auto" w:fill="F3F3F3"/>
        <w:spacing w:before="30" w:after="30" w:line="240" w:lineRule="atLeast"/>
        <w:ind w:left="30" w:right="255"/>
        <w:rPr>
          <w:rFonts w:eastAsia="Times New Roman" w:cs="Arial"/>
          <w:lang w:eastAsia="es-CO"/>
        </w:rPr>
      </w:pPr>
      <w:r w:rsidRPr="000763DB">
        <w:rPr>
          <w:rFonts w:eastAsia="Times New Roman" w:cs="Arial"/>
          <w:u w:val="single"/>
          <w:lang w:eastAsia="es-CO"/>
        </w:rPr>
        <w:t>Sitio oficial de la Corporación Financiera Internacional (IFC)</w:t>
      </w:r>
    </w:p>
    <w:p w:rsidR="000763DB" w:rsidRPr="000763DB" w:rsidRDefault="000763DB" w:rsidP="000763DB">
      <w:pPr>
        <w:shd w:val="clear" w:color="auto" w:fill="FFFFFF"/>
        <w:spacing w:after="150" w:line="240" w:lineRule="auto"/>
        <w:outlineLvl w:val="1"/>
        <w:rPr>
          <w:rFonts w:eastAsia="Times New Roman" w:cs="Times New Roman"/>
          <w:b/>
          <w:bCs/>
          <w:lang w:eastAsia="es-CO"/>
        </w:rPr>
      </w:pPr>
      <w:r w:rsidRPr="000763DB">
        <w:rPr>
          <w:rFonts w:eastAsia="Times New Roman" w:cs="Times New Roman"/>
          <w:b/>
          <w:bCs/>
          <w:lang w:eastAsia="es-CO"/>
        </w:rPr>
        <w:t>La Corporación Financiera Internacional (IFC) le asignó al Banco una Línea de Contraparte para realizar operaciones de cobertura de hasta USD 400 millones. Este acuerdo le permitirá al Banco llegar a un mayor número de clientes, quienes recibirán directamente los beneficios en sus operaciones en el mercado local. Bancolombia continúa con su estrategia de profundización del mercado de productos de cobertura local, como una forma de respaldar el desarrollo del país.</w:t>
      </w:r>
    </w:p>
    <w:p w:rsidR="000763DB" w:rsidRPr="000763DB" w:rsidRDefault="000763DB" w:rsidP="000763DB">
      <w:pPr>
        <w:shd w:val="clear" w:color="auto" w:fill="FFFFFF"/>
        <w:spacing w:before="150" w:after="150" w:line="240" w:lineRule="auto"/>
        <w:rPr>
          <w:rFonts w:eastAsia="Times New Roman" w:cs="Times New Roman"/>
          <w:lang w:eastAsia="es-CO"/>
        </w:rPr>
      </w:pPr>
      <w:r w:rsidRPr="000763DB">
        <w:rPr>
          <w:rFonts w:eastAsia="Times New Roman" w:cs="Times New Roman"/>
          <w:lang w:eastAsia="es-CO"/>
        </w:rPr>
        <w:t>Bancolombia fortaleció el respaldo a sus clientes en el país, gracias al acuerdo firmado con la Corporación Financiera Internacional (IFC), que le asigna una Línea de Contraparte de hasta USD 400 millones, para la realización de operaciones de cobertura en el mercado local.</w:t>
      </w:r>
    </w:p>
    <w:p w:rsidR="000763DB" w:rsidRPr="000763DB" w:rsidRDefault="000763DB" w:rsidP="000763DB">
      <w:pPr>
        <w:shd w:val="clear" w:color="auto" w:fill="FFFFFF"/>
        <w:spacing w:before="150" w:after="150" w:line="240" w:lineRule="auto"/>
        <w:rPr>
          <w:rFonts w:eastAsia="Times New Roman" w:cs="Times New Roman"/>
          <w:lang w:eastAsia="es-CO"/>
        </w:rPr>
      </w:pPr>
      <w:r w:rsidRPr="000763DB">
        <w:rPr>
          <w:rFonts w:eastAsia="Times New Roman" w:cs="Times New Roman"/>
          <w:lang w:eastAsia="es-CO"/>
        </w:rPr>
        <w:t>Con este respaldo de la IFC, filial del Grupo Banco Mundial para el sector privado, Bancolombia ampliará sus servicios y fomento al mercado local y beneficiará a todos los clientes interesados en acceder a productos de cobertura de riesgos financieros, que dispongan de una línea de crédito con el Banco y que hayan suscrito el acuerdo marco de derivados.</w:t>
      </w:r>
    </w:p>
    <w:p w:rsidR="000763DB" w:rsidRPr="000763DB" w:rsidRDefault="000763DB" w:rsidP="000763DB">
      <w:pPr>
        <w:shd w:val="clear" w:color="auto" w:fill="FFFFFF"/>
        <w:spacing w:before="150" w:after="150" w:line="240" w:lineRule="auto"/>
        <w:rPr>
          <w:rFonts w:eastAsia="Times New Roman" w:cs="Times New Roman"/>
          <w:lang w:eastAsia="es-CO"/>
        </w:rPr>
      </w:pPr>
      <w:r w:rsidRPr="000763DB">
        <w:rPr>
          <w:rFonts w:eastAsia="Times New Roman" w:cs="Times New Roman"/>
          <w:lang w:eastAsia="es-CO"/>
        </w:rPr>
        <w:t>La línea de crédito, que se aprueba por tiempo indefinido y que estará sujeta a revisiones periódicas, va dirigida a operar productos de cobertura para riesgos financieros como los de tasa de cambio y de tasa de interés, en productos tales como Swaps de tasa de interés y Swaps de tipo de cambio.</w:t>
      </w:r>
    </w:p>
    <w:p w:rsidR="000763DB" w:rsidRPr="000763DB" w:rsidRDefault="000763DB" w:rsidP="000763DB">
      <w:pPr>
        <w:shd w:val="clear" w:color="auto" w:fill="FFFFFF"/>
        <w:spacing w:before="150" w:after="150" w:line="240" w:lineRule="auto"/>
        <w:rPr>
          <w:rFonts w:eastAsia="Times New Roman" w:cs="Times New Roman"/>
          <w:lang w:eastAsia="es-CO"/>
        </w:rPr>
      </w:pPr>
      <w:r w:rsidRPr="000763DB">
        <w:rPr>
          <w:rFonts w:eastAsia="Times New Roman" w:cs="Times New Roman"/>
          <w:lang w:eastAsia="es-CO"/>
        </w:rPr>
        <w:t xml:space="preserve">Tener a la IFC como contraparte directa para este tipo de operaciones, </w:t>
      </w:r>
      <w:proofErr w:type="gramStart"/>
      <w:r w:rsidRPr="000763DB">
        <w:rPr>
          <w:rFonts w:eastAsia="Times New Roman" w:cs="Times New Roman"/>
          <w:lang w:eastAsia="es-CO"/>
        </w:rPr>
        <w:t>le</w:t>
      </w:r>
      <w:proofErr w:type="gramEnd"/>
      <w:r w:rsidRPr="000763DB">
        <w:rPr>
          <w:rFonts w:eastAsia="Times New Roman" w:cs="Times New Roman"/>
          <w:lang w:eastAsia="es-CO"/>
        </w:rPr>
        <w:t xml:space="preserve"> permitirá a los clientes de Bancolombia obtener beneficios en materia de eficiencia, precios y accesibilidad al portafolio de servicios.</w:t>
      </w:r>
    </w:p>
    <w:p w:rsidR="000763DB" w:rsidRPr="000763DB" w:rsidRDefault="000763DB" w:rsidP="000763DB">
      <w:pPr>
        <w:shd w:val="clear" w:color="auto" w:fill="FFFFFF"/>
        <w:spacing w:before="150" w:after="150" w:line="240" w:lineRule="auto"/>
        <w:rPr>
          <w:rFonts w:eastAsia="Times New Roman" w:cs="Times New Roman"/>
          <w:lang w:eastAsia="es-CO"/>
        </w:rPr>
      </w:pPr>
      <w:r w:rsidRPr="000763DB">
        <w:rPr>
          <w:rFonts w:eastAsia="Times New Roman" w:cs="Times New Roman"/>
          <w:lang w:eastAsia="es-CO"/>
        </w:rPr>
        <w:t>Bancolombia continúa así con las acciones incluidas en su estrategia para lograr un mayor desarrollo del mercado local, con productos de tesorería orientados a proveer instrumentos de cobertura para sus clientes, que les faciliten su gestión financiera y su crecimiento económico.</w:t>
      </w:r>
    </w:p>
    <w:p w:rsidR="000763DB" w:rsidRDefault="000763DB" w:rsidP="000763DB">
      <w:pPr>
        <w:jc w:val="both"/>
        <w:rPr>
          <w:color w:val="FF0000"/>
        </w:rPr>
      </w:pPr>
    </w:p>
    <w:p w:rsidR="000763DB" w:rsidRDefault="000763DB" w:rsidP="000763DB">
      <w:pPr>
        <w:jc w:val="both"/>
        <w:rPr>
          <w:color w:val="FF0000"/>
        </w:rPr>
      </w:pPr>
    </w:p>
    <w:p w:rsidR="000763DB" w:rsidRDefault="000763DB" w:rsidP="000763DB">
      <w:pPr>
        <w:jc w:val="both"/>
        <w:rPr>
          <w:color w:val="FF0000"/>
        </w:rPr>
      </w:pPr>
    </w:p>
    <w:p w:rsidR="000763DB" w:rsidRDefault="000763DB" w:rsidP="000763DB">
      <w:pPr>
        <w:jc w:val="both"/>
        <w:rPr>
          <w:color w:val="FF0000"/>
        </w:rPr>
      </w:pPr>
    </w:p>
    <w:p w:rsidR="000763DB" w:rsidRDefault="000763DB" w:rsidP="000763DB">
      <w:pPr>
        <w:jc w:val="both"/>
        <w:rPr>
          <w:color w:val="FF0000"/>
          <w:sz w:val="32"/>
          <w:szCs w:val="32"/>
        </w:rPr>
      </w:pPr>
      <w:proofErr w:type="spellStart"/>
      <w:r w:rsidRPr="000763DB">
        <w:rPr>
          <w:color w:val="FF0000"/>
          <w:sz w:val="32"/>
          <w:szCs w:val="32"/>
        </w:rPr>
        <w:lastRenderedPageBreak/>
        <w:t>Numero</w:t>
      </w:r>
      <w:proofErr w:type="spellEnd"/>
      <w:r w:rsidRPr="000763DB">
        <w:rPr>
          <w:color w:val="FF0000"/>
          <w:sz w:val="32"/>
          <w:szCs w:val="32"/>
        </w:rPr>
        <w:t xml:space="preserve"> de socios</w:t>
      </w:r>
    </w:p>
    <w:p w:rsidR="000763DB" w:rsidRPr="000763DB" w:rsidRDefault="000763DB" w:rsidP="000763DB">
      <w:pPr>
        <w:jc w:val="both"/>
        <w:rPr>
          <w:sz w:val="32"/>
          <w:szCs w:val="32"/>
        </w:rPr>
      </w:pPr>
    </w:p>
    <w:p w:rsidR="000763DB" w:rsidRPr="000763DB" w:rsidRDefault="000763DB" w:rsidP="000763DB">
      <w:pPr>
        <w:shd w:val="clear" w:color="auto" w:fill="FFFFFF"/>
        <w:spacing w:after="408" w:line="240" w:lineRule="auto"/>
        <w:rPr>
          <w:rFonts w:eastAsia="Times New Roman" w:cs="Times New Roman"/>
          <w:lang w:eastAsia="es-CO"/>
        </w:rPr>
      </w:pPr>
      <w:r w:rsidRPr="000763DB">
        <w:rPr>
          <w:rFonts w:eastAsia="Times New Roman" w:cs="Times New Roman"/>
          <w:lang w:eastAsia="es-CO"/>
        </w:rPr>
        <w:t>Carlos Raúl Yepes presenta el informe de gestión que la Junta Directiva y él como Presidente, prepararon con destino a la Asamblea General de Accionistas. En su mensaje a los accionistas, destacó:</w:t>
      </w:r>
    </w:p>
    <w:p w:rsidR="000763DB" w:rsidRPr="000763DB" w:rsidRDefault="000763DB" w:rsidP="000763DB">
      <w:pPr>
        <w:shd w:val="clear" w:color="auto" w:fill="FFFFFF"/>
        <w:spacing w:after="408" w:line="240" w:lineRule="auto"/>
        <w:rPr>
          <w:sz w:val="32"/>
          <w:szCs w:val="32"/>
        </w:rPr>
      </w:pPr>
      <w:r w:rsidRPr="000763DB">
        <w:rPr>
          <w:rFonts w:eastAsia="Times New Roman" w:cs="Times New Roman"/>
          <w:lang w:eastAsia="es-CO"/>
        </w:rPr>
        <w:t>“Señores accionistas, El gran reto que tienen las organizaciones en el mundo de hoy es generar valor en el presente y promover el crecimiento futuro. No son suficientes los resultados de corto plazo si estos logros no son sostenibles en el tiempo, como tampoco está completa la misión si no se piensa en el desarrollo económico, social y ambiental de las comunidades a las que cada compañía impacta.</w:t>
      </w:r>
      <w:r w:rsidRPr="000763DB">
        <w:rPr>
          <w:rFonts w:eastAsia="Times New Roman" w:cs="Times New Roman"/>
          <w:lang w:eastAsia="es-CO"/>
        </w:rPr>
        <w:br/>
        <w:t>Este ha sido nuestro propósito desde siempre y por eso, con orgullo, podemos hablar de una historia de 139 años de crecimiento constante, de desarrollo, de evolución, de logros y de resultados.</w:t>
      </w:r>
      <w:r w:rsidRPr="000763DB">
        <w:rPr>
          <w:rFonts w:eastAsia="Times New Roman" w:cs="Times New Roman"/>
          <w:lang w:eastAsia="es-CO"/>
        </w:rPr>
        <w:br/>
        <w:t>Hoy tenemos una visión de futuro por la que hemos trabajado, y durante 2013 dimos continuidad a nuestro propósito de coherencia entre lo que pensamos, decimos y hacemos. Ese es, justamente, uno de los principales insumos para hacer de la nuestra, una organización futurista, un ‘nuevo banco’, más humano, más cercano, más digital, más móvil, más fácil, más internacional, más responsable.</w:t>
      </w:r>
      <w:r w:rsidRPr="000763DB">
        <w:rPr>
          <w:rFonts w:eastAsia="Times New Roman" w:cs="Times New Roman"/>
          <w:lang w:eastAsia="es-CO"/>
        </w:rPr>
        <w:br/>
        <w:t>Hemos trabajado intensamente en la construcción de un capital social, a través de la movilización y la construcción de un esquema de trabajo con el que hemos ido consiguiendo la confianza de las personas con el fin de tener unas bases sólidas para seguir creciendo. Este es, en últimas, el soporte fundamental de nuestra visión de futuro: lograr mantener buenos resultados en el presente, pensando en la perdurabilidad de nuestro negocio.</w:t>
      </w:r>
      <w:r w:rsidRPr="000763DB">
        <w:rPr>
          <w:rFonts w:eastAsia="Times New Roman" w:cs="Times New Roman"/>
          <w:lang w:eastAsia="es-CO"/>
        </w:rPr>
        <w:br/>
        <w:t>Esta es nuestra manera de pensar, y esta visión de empresa se empieza a materializar en una serie de logros concretos.</w:t>
      </w:r>
      <w:r w:rsidRPr="000763DB">
        <w:rPr>
          <w:rFonts w:eastAsia="Times New Roman" w:cs="Times New Roman"/>
          <w:lang w:eastAsia="es-CO"/>
        </w:rPr>
        <w:br/>
        <w:t>En este punto quiero hacer una pausa y explicarles muy concretamente cómo se construyó el Informe de Gestión que cada uno de ustedes tiene en sus manos. Dentro de nuestra planeación estratégica, construida de manera participativa con nuestros grupos de interés, tenemos cuatro líneas de acción que definimos como los focos en los que nos hemos concentrado desde 2013 y que nos servirán de guía hasta el 2020, con el fin último de lograr la más alta recomendación de nuestros clientes siendo una Banca más Humana. Cada tema que les plantearemos puede ser vinculado a más de una de esas líneas de acción, pero lo importante es que, apoyados en esos cuatro pilares, hemos tenido importantes logros, y a través de este esquema queremos que reciban el balance de nuestra gestión.</w:t>
      </w:r>
      <w:r w:rsidRPr="000763DB">
        <w:rPr>
          <w:rFonts w:eastAsia="Times New Roman" w:cs="Times New Roman"/>
          <w:lang w:eastAsia="es-CO"/>
        </w:rPr>
        <w:br/>
        <w:t>Les presento entonces un corto resumen de avances en nuestras cuatro líneas de acción:</w:t>
      </w:r>
      <w:r w:rsidRPr="000763DB">
        <w:rPr>
          <w:rFonts w:eastAsia="Times New Roman" w:cs="Times New Roman"/>
          <w:lang w:eastAsia="es-CO"/>
        </w:rPr>
        <w:br/>
        <w:t>Crecimiento Sostenible</w:t>
      </w:r>
      <w:r w:rsidRPr="000763DB">
        <w:rPr>
          <w:rFonts w:eastAsia="Times New Roman" w:cs="Times New Roman"/>
          <w:lang w:eastAsia="es-CO"/>
        </w:rPr>
        <w:br/>
        <w:t>Es la consecuencia de hacer las cosas bien, que va mucho más allá de un resultado financiero y se refleja en la responsabilidad en nuestra gestión, en el compromiso que tenemos por seguir llegando a los lugares más alejados para apoyar el desarrollo de los países en los que estamos presentes, generando valor compartido, porque nos interesa construir una sociedad económicamente próspera, socialmente incluyente, ambientalmente saludable y, en consecuencia, promover la perdurabilidad de nuestra organización.</w:t>
      </w:r>
      <w:r w:rsidRPr="000763DB">
        <w:rPr>
          <w:rFonts w:eastAsia="Times New Roman" w:cs="Times New Roman"/>
          <w:lang w:eastAsia="es-CO"/>
        </w:rPr>
        <w:br/>
        <w:t>Siempre recordaremos 2013 como el año en el que logramos materializar grandes logros en nuestro proceso de crecimiento in</w:t>
      </w:r>
      <w:r w:rsidR="00727106">
        <w:rPr>
          <w:rFonts w:eastAsia="Times New Roman" w:cs="Times New Roman"/>
          <w:lang w:eastAsia="es-CO"/>
        </w:rPr>
        <w:t xml:space="preserve">ternacional. </w:t>
      </w:r>
    </w:p>
    <w:p w:rsidR="000763DB" w:rsidRPr="000763DB" w:rsidRDefault="000763DB" w:rsidP="000763DB">
      <w:pPr>
        <w:jc w:val="both"/>
        <w:rPr>
          <w:color w:val="FF0000"/>
        </w:rPr>
      </w:pPr>
    </w:p>
    <w:sectPr w:rsidR="000763DB" w:rsidRPr="00076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799"/>
    <w:multiLevelType w:val="hybridMultilevel"/>
    <w:tmpl w:val="78060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AE343A"/>
    <w:multiLevelType w:val="hybridMultilevel"/>
    <w:tmpl w:val="B0E85B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5A6863"/>
    <w:multiLevelType w:val="multilevel"/>
    <w:tmpl w:val="DB6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59"/>
    <w:rsid w:val="00015557"/>
    <w:rsid w:val="00025293"/>
    <w:rsid w:val="00032B20"/>
    <w:rsid w:val="00034727"/>
    <w:rsid w:val="0004064C"/>
    <w:rsid w:val="00054359"/>
    <w:rsid w:val="00072982"/>
    <w:rsid w:val="000763DB"/>
    <w:rsid w:val="00085844"/>
    <w:rsid w:val="00097145"/>
    <w:rsid w:val="000B6316"/>
    <w:rsid w:val="000C1E04"/>
    <w:rsid w:val="000C75A6"/>
    <w:rsid w:val="000C795A"/>
    <w:rsid w:val="000D6E8D"/>
    <w:rsid w:val="001070D4"/>
    <w:rsid w:val="001140F5"/>
    <w:rsid w:val="00121D50"/>
    <w:rsid w:val="001463BA"/>
    <w:rsid w:val="001835D6"/>
    <w:rsid w:val="001B1E52"/>
    <w:rsid w:val="001B3D4D"/>
    <w:rsid w:val="001D6419"/>
    <w:rsid w:val="001E1B5E"/>
    <w:rsid w:val="001F2875"/>
    <w:rsid w:val="002224E9"/>
    <w:rsid w:val="0023562B"/>
    <w:rsid w:val="0025772F"/>
    <w:rsid w:val="00261AFA"/>
    <w:rsid w:val="002851AC"/>
    <w:rsid w:val="0029079B"/>
    <w:rsid w:val="00293931"/>
    <w:rsid w:val="002A3B6E"/>
    <w:rsid w:val="002A6057"/>
    <w:rsid w:val="002A7B47"/>
    <w:rsid w:val="002A7E45"/>
    <w:rsid w:val="002B0102"/>
    <w:rsid w:val="002B518B"/>
    <w:rsid w:val="002E6568"/>
    <w:rsid w:val="002F6FF3"/>
    <w:rsid w:val="00300D5A"/>
    <w:rsid w:val="00312B07"/>
    <w:rsid w:val="003408F3"/>
    <w:rsid w:val="003514E6"/>
    <w:rsid w:val="00370E83"/>
    <w:rsid w:val="0038631E"/>
    <w:rsid w:val="00397251"/>
    <w:rsid w:val="003B52FD"/>
    <w:rsid w:val="003D0A3E"/>
    <w:rsid w:val="003E2384"/>
    <w:rsid w:val="003E2F69"/>
    <w:rsid w:val="003E5682"/>
    <w:rsid w:val="003F6B16"/>
    <w:rsid w:val="003F7274"/>
    <w:rsid w:val="00403024"/>
    <w:rsid w:val="00403154"/>
    <w:rsid w:val="00403821"/>
    <w:rsid w:val="004061B3"/>
    <w:rsid w:val="00413017"/>
    <w:rsid w:val="00430E2B"/>
    <w:rsid w:val="004335D5"/>
    <w:rsid w:val="00475A3F"/>
    <w:rsid w:val="004A2E5F"/>
    <w:rsid w:val="004C50B9"/>
    <w:rsid w:val="004E5CDE"/>
    <w:rsid w:val="004F2714"/>
    <w:rsid w:val="004F7777"/>
    <w:rsid w:val="00505480"/>
    <w:rsid w:val="005076BB"/>
    <w:rsid w:val="005274F4"/>
    <w:rsid w:val="00533E02"/>
    <w:rsid w:val="005419DA"/>
    <w:rsid w:val="00555A17"/>
    <w:rsid w:val="00580345"/>
    <w:rsid w:val="00595EF0"/>
    <w:rsid w:val="005F58CD"/>
    <w:rsid w:val="006004A8"/>
    <w:rsid w:val="0060620C"/>
    <w:rsid w:val="00610496"/>
    <w:rsid w:val="00635481"/>
    <w:rsid w:val="00640544"/>
    <w:rsid w:val="006411B8"/>
    <w:rsid w:val="00651068"/>
    <w:rsid w:val="00661BC7"/>
    <w:rsid w:val="006705F7"/>
    <w:rsid w:val="00677F8F"/>
    <w:rsid w:val="00681AD2"/>
    <w:rsid w:val="00682804"/>
    <w:rsid w:val="00687F83"/>
    <w:rsid w:val="006911D0"/>
    <w:rsid w:val="006B699E"/>
    <w:rsid w:val="006D707C"/>
    <w:rsid w:val="006D7D51"/>
    <w:rsid w:val="006F158D"/>
    <w:rsid w:val="00716B62"/>
    <w:rsid w:val="00727106"/>
    <w:rsid w:val="007528D1"/>
    <w:rsid w:val="00765F4A"/>
    <w:rsid w:val="00767772"/>
    <w:rsid w:val="00775219"/>
    <w:rsid w:val="007778AF"/>
    <w:rsid w:val="007831E8"/>
    <w:rsid w:val="00791ED0"/>
    <w:rsid w:val="00794B81"/>
    <w:rsid w:val="007A5861"/>
    <w:rsid w:val="007B5F54"/>
    <w:rsid w:val="007D3E62"/>
    <w:rsid w:val="007D4EEC"/>
    <w:rsid w:val="007D5FF3"/>
    <w:rsid w:val="007E042C"/>
    <w:rsid w:val="00800C1A"/>
    <w:rsid w:val="008063CC"/>
    <w:rsid w:val="008123C3"/>
    <w:rsid w:val="00812646"/>
    <w:rsid w:val="00812FA3"/>
    <w:rsid w:val="008131C3"/>
    <w:rsid w:val="0081670A"/>
    <w:rsid w:val="00835958"/>
    <w:rsid w:val="008472D8"/>
    <w:rsid w:val="00865C7A"/>
    <w:rsid w:val="00876CFC"/>
    <w:rsid w:val="00877E5C"/>
    <w:rsid w:val="00897DDD"/>
    <w:rsid w:val="008A6126"/>
    <w:rsid w:val="008B7DE4"/>
    <w:rsid w:val="008D3977"/>
    <w:rsid w:val="008F6AAC"/>
    <w:rsid w:val="00910E88"/>
    <w:rsid w:val="009125C4"/>
    <w:rsid w:val="009225BD"/>
    <w:rsid w:val="00927C5F"/>
    <w:rsid w:val="00932391"/>
    <w:rsid w:val="0093695C"/>
    <w:rsid w:val="00970751"/>
    <w:rsid w:val="00981978"/>
    <w:rsid w:val="0098444F"/>
    <w:rsid w:val="00993179"/>
    <w:rsid w:val="009A4BB6"/>
    <w:rsid w:val="009A660B"/>
    <w:rsid w:val="009B2796"/>
    <w:rsid w:val="009E37D5"/>
    <w:rsid w:val="009F1F0E"/>
    <w:rsid w:val="00A15628"/>
    <w:rsid w:val="00A3600F"/>
    <w:rsid w:val="00A4548C"/>
    <w:rsid w:val="00A60617"/>
    <w:rsid w:val="00A82A6F"/>
    <w:rsid w:val="00A839A6"/>
    <w:rsid w:val="00A83BD9"/>
    <w:rsid w:val="00A965D1"/>
    <w:rsid w:val="00AB28A2"/>
    <w:rsid w:val="00AB4AD3"/>
    <w:rsid w:val="00B15AFD"/>
    <w:rsid w:val="00B950BD"/>
    <w:rsid w:val="00BC7047"/>
    <w:rsid w:val="00BF4EDB"/>
    <w:rsid w:val="00C0004A"/>
    <w:rsid w:val="00C148D3"/>
    <w:rsid w:val="00C43759"/>
    <w:rsid w:val="00C45836"/>
    <w:rsid w:val="00C87814"/>
    <w:rsid w:val="00CA39F3"/>
    <w:rsid w:val="00CB0397"/>
    <w:rsid w:val="00CB68E0"/>
    <w:rsid w:val="00CB7118"/>
    <w:rsid w:val="00CC073D"/>
    <w:rsid w:val="00CC6E97"/>
    <w:rsid w:val="00CF7E57"/>
    <w:rsid w:val="00D20A88"/>
    <w:rsid w:val="00D25478"/>
    <w:rsid w:val="00D3646A"/>
    <w:rsid w:val="00D37567"/>
    <w:rsid w:val="00D642D4"/>
    <w:rsid w:val="00D67A35"/>
    <w:rsid w:val="00D87F99"/>
    <w:rsid w:val="00DA6147"/>
    <w:rsid w:val="00DB500E"/>
    <w:rsid w:val="00DB727E"/>
    <w:rsid w:val="00DD4232"/>
    <w:rsid w:val="00DF51D8"/>
    <w:rsid w:val="00DF6E90"/>
    <w:rsid w:val="00E11AE8"/>
    <w:rsid w:val="00E30D46"/>
    <w:rsid w:val="00E3650E"/>
    <w:rsid w:val="00E51B15"/>
    <w:rsid w:val="00E8460A"/>
    <w:rsid w:val="00E87874"/>
    <w:rsid w:val="00EB2664"/>
    <w:rsid w:val="00EC29D4"/>
    <w:rsid w:val="00EC4315"/>
    <w:rsid w:val="00ED1285"/>
    <w:rsid w:val="00F4605B"/>
    <w:rsid w:val="00F62034"/>
    <w:rsid w:val="00F77F1A"/>
    <w:rsid w:val="00F8313E"/>
    <w:rsid w:val="00F923D2"/>
    <w:rsid w:val="00F942B4"/>
    <w:rsid w:val="00FC78D5"/>
    <w:rsid w:val="00FD2EC3"/>
    <w:rsid w:val="00FD46C3"/>
    <w:rsid w:val="00FE0F15"/>
    <w:rsid w:val="00FF01D2"/>
    <w:rsid w:val="00FF02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4359"/>
    <w:pPr>
      <w:ind w:left="720"/>
      <w:contextualSpacing/>
    </w:pPr>
  </w:style>
  <w:style w:type="paragraph" w:styleId="NormalWeb">
    <w:name w:val="Normal (Web)"/>
    <w:basedOn w:val="Normal"/>
    <w:uiPriority w:val="99"/>
    <w:semiHidden/>
    <w:unhideWhenUsed/>
    <w:rsid w:val="000763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763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4359"/>
    <w:pPr>
      <w:ind w:left="720"/>
      <w:contextualSpacing/>
    </w:pPr>
  </w:style>
  <w:style w:type="paragraph" w:styleId="NormalWeb">
    <w:name w:val="Normal (Web)"/>
    <w:basedOn w:val="Normal"/>
    <w:uiPriority w:val="99"/>
    <w:semiHidden/>
    <w:unhideWhenUsed/>
    <w:rsid w:val="000763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763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4793">
      <w:bodyDiv w:val="1"/>
      <w:marLeft w:val="0"/>
      <w:marRight w:val="0"/>
      <w:marTop w:val="0"/>
      <w:marBottom w:val="0"/>
      <w:divBdr>
        <w:top w:val="none" w:sz="0" w:space="0" w:color="auto"/>
        <w:left w:val="none" w:sz="0" w:space="0" w:color="auto"/>
        <w:bottom w:val="none" w:sz="0" w:space="0" w:color="auto"/>
        <w:right w:val="none" w:sz="0" w:space="0" w:color="auto"/>
      </w:divBdr>
    </w:div>
    <w:div w:id="902714099">
      <w:bodyDiv w:val="1"/>
      <w:marLeft w:val="0"/>
      <w:marRight w:val="0"/>
      <w:marTop w:val="0"/>
      <w:marBottom w:val="0"/>
      <w:divBdr>
        <w:top w:val="none" w:sz="0" w:space="0" w:color="auto"/>
        <w:left w:val="none" w:sz="0" w:space="0" w:color="auto"/>
        <w:bottom w:val="none" w:sz="0" w:space="0" w:color="auto"/>
        <w:right w:val="none" w:sz="0" w:space="0" w:color="auto"/>
      </w:divBdr>
      <w:divsChild>
        <w:div w:id="1931499477">
          <w:marLeft w:val="0"/>
          <w:marRight w:val="0"/>
          <w:marTop w:val="150"/>
          <w:marBottom w:val="0"/>
          <w:divBdr>
            <w:top w:val="none" w:sz="0" w:space="0" w:color="auto"/>
            <w:left w:val="none" w:sz="0" w:space="0" w:color="auto"/>
            <w:bottom w:val="none" w:sz="0" w:space="0" w:color="auto"/>
            <w:right w:val="none" w:sz="0" w:space="0" w:color="auto"/>
          </w:divBdr>
        </w:div>
        <w:div w:id="331494138">
          <w:marLeft w:val="0"/>
          <w:marRight w:val="225"/>
          <w:marTop w:val="150"/>
          <w:marBottom w:val="0"/>
          <w:divBdr>
            <w:top w:val="none" w:sz="0" w:space="0" w:color="auto"/>
            <w:left w:val="none" w:sz="0" w:space="0" w:color="auto"/>
            <w:bottom w:val="none" w:sz="0" w:space="0" w:color="auto"/>
            <w:right w:val="none" w:sz="0" w:space="0" w:color="auto"/>
          </w:divBdr>
          <w:divsChild>
            <w:div w:id="206068366">
              <w:marLeft w:val="0"/>
              <w:marRight w:val="0"/>
              <w:marTop w:val="150"/>
              <w:marBottom w:val="0"/>
              <w:divBdr>
                <w:top w:val="single" w:sz="6" w:space="0" w:color="CCCCCC"/>
                <w:left w:val="single" w:sz="6" w:space="0" w:color="CCCCCC"/>
                <w:bottom w:val="single" w:sz="6" w:space="0" w:color="CCCCCC"/>
                <w:right w:val="single" w:sz="6" w:space="0" w:color="CCCCCC"/>
              </w:divBdr>
            </w:div>
          </w:divsChild>
        </w:div>
      </w:divsChild>
    </w:div>
    <w:div w:id="18136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deprensa.grupobancolombia.com/cs/Satellite?c=Page&amp;cid=1259763813558&amp;type=FotoP&amp;id=1259764245610&amp;pagename=SalaPrensa/SP_Inter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Sistemas</cp:lastModifiedBy>
  <cp:revision>4</cp:revision>
  <dcterms:created xsi:type="dcterms:W3CDTF">2014-08-04T18:36:00Z</dcterms:created>
  <dcterms:modified xsi:type="dcterms:W3CDTF">2014-08-11T18:36:00Z</dcterms:modified>
</cp:coreProperties>
</file>